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8A" w:rsidRPr="002106FE" w:rsidRDefault="00150847" w:rsidP="00CF5A08">
      <w:pPr>
        <w:keepNext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Obszar</w:t>
      </w:r>
      <w:r w:rsidR="00CF5A08" w:rsidRPr="002106FE">
        <w:rPr>
          <w:rFonts w:ascii="Times New Roman" w:hAnsi="Times New Roman" w:cs="Times New Roman"/>
          <w:b/>
          <w:bCs/>
          <w:sz w:val="32"/>
          <w:szCs w:val="32"/>
        </w:rPr>
        <w:t xml:space="preserve"> nr 7</w:t>
      </w:r>
    </w:p>
    <w:p w:rsidR="00CF5A08" w:rsidRPr="002106FE" w:rsidRDefault="00CF5A08" w:rsidP="00CF5A08">
      <w:pPr>
        <w:keepNext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06FE">
        <w:rPr>
          <w:rFonts w:ascii="Times New Roman" w:hAnsi="Times New Roman" w:cs="Times New Roman"/>
          <w:b/>
          <w:bCs/>
          <w:sz w:val="32"/>
          <w:szCs w:val="32"/>
        </w:rPr>
        <w:t xml:space="preserve">Użytkowanie i </w:t>
      </w:r>
      <w:r w:rsidR="00150847">
        <w:rPr>
          <w:rFonts w:ascii="Times New Roman" w:hAnsi="Times New Roman" w:cs="Times New Roman"/>
          <w:b/>
          <w:bCs/>
          <w:sz w:val="32"/>
          <w:szCs w:val="32"/>
        </w:rPr>
        <w:t>p</w:t>
      </w:r>
      <w:bookmarkStart w:id="0" w:name="_GoBack"/>
      <w:bookmarkEnd w:id="0"/>
      <w:r w:rsidRPr="002106FE">
        <w:rPr>
          <w:rFonts w:ascii="Times New Roman" w:hAnsi="Times New Roman" w:cs="Times New Roman"/>
          <w:b/>
          <w:bCs/>
          <w:sz w:val="32"/>
          <w:szCs w:val="32"/>
        </w:rPr>
        <w:t xml:space="preserve">atologia </w:t>
      </w:r>
      <w:r w:rsidR="00150847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2106FE">
        <w:rPr>
          <w:rFonts w:ascii="Times New Roman" w:hAnsi="Times New Roman" w:cs="Times New Roman"/>
          <w:b/>
          <w:bCs/>
          <w:sz w:val="32"/>
          <w:szCs w:val="32"/>
        </w:rPr>
        <w:t xml:space="preserve">wierząt </w:t>
      </w:r>
      <w:r w:rsidR="00150847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2106FE">
        <w:rPr>
          <w:rFonts w:ascii="Times New Roman" w:hAnsi="Times New Roman" w:cs="Times New Roman"/>
          <w:b/>
          <w:bCs/>
          <w:sz w:val="32"/>
          <w:szCs w:val="32"/>
        </w:rPr>
        <w:t>aboratoryjnych</w:t>
      </w:r>
      <w:r w:rsidR="00150847">
        <w:rPr>
          <w:rFonts w:ascii="Times New Roman" w:hAnsi="Times New Roman" w:cs="Times New Roman"/>
          <w:b/>
          <w:bCs/>
          <w:sz w:val="32"/>
          <w:szCs w:val="32"/>
        </w:rPr>
        <w:t>, w tym towarzyszących</w:t>
      </w:r>
    </w:p>
    <w:p w:rsidR="00CF5A08" w:rsidRPr="002106FE" w:rsidRDefault="00CF5A08" w:rsidP="00CF5A08">
      <w:pPr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468A" w:rsidRPr="002106FE" w:rsidRDefault="00CF468A" w:rsidP="00CF468A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p w:rsidR="00CF468A" w:rsidRPr="002106FE" w:rsidRDefault="00CF468A" w:rsidP="00CF468A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2106FE">
        <w:rPr>
          <w:rStyle w:val="FontStyle11"/>
          <w:b/>
          <w:i w:val="0"/>
          <w:sz w:val="28"/>
          <w:szCs w:val="28"/>
          <w:lang w:val="pl-PL" w:eastAsia="pl-PL"/>
        </w:rPr>
        <w:t xml:space="preserve">Krajowy Kierownik Specjalizacji kadencji 2020– 2024: </w:t>
      </w:r>
    </w:p>
    <w:p w:rsidR="00CF468A" w:rsidRPr="002106FE" w:rsidRDefault="00CF468A" w:rsidP="00CF468A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2106FE">
        <w:rPr>
          <w:rStyle w:val="FontStyle11"/>
          <w:b/>
          <w:i w:val="0"/>
          <w:sz w:val="28"/>
          <w:szCs w:val="28"/>
          <w:lang w:val="pl-PL" w:eastAsia="pl-PL"/>
        </w:rPr>
        <w:t>Dr hab. GRZEGORZ TOMCZYK, profesor Instytutu</w:t>
      </w:r>
    </w:p>
    <w:p w:rsidR="00CF468A" w:rsidRPr="002106FE" w:rsidRDefault="00CF468A" w:rsidP="00CF468A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iCs w:val="0"/>
          <w:sz w:val="28"/>
          <w:szCs w:val="28"/>
          <w:lang w:val="pl-PL" w:eastAsia="pl-PL"/>
        </w:rPr>
      </w:pPr>
    </w:p>
    <w:p w:rsidR="00CF468A" w:rsidRPr="002106FE" w:rsidRDefault="00CF468A" w:rsidP="00CF468A">
      <w:pPr>
        <w:pStyle w:val="Style2"/>
        <w:widowControl/>
        <w:spacing w:before="29" w:line="240" w:lineRule="auto"/>
        <w:rPr>
          <w:rStyle w:val="Hipercze"/>
          <w:color w:val="auto"/>
          <w:lang w:val="pl-PL" w:eastAsia="pl-PL"/>
        </w:rPr>
      </w:pPr>
      <w:r w:rsidRPr="002106FE">
        <w:rPr>
          <w:rStyle w:val="FontStyle11"/>
          <w:sz w:val="24"/>
          <w:szCs w:val="24"/>
          <w:lang w:val="pl-PL" w:eastAsia="pl-PL"/>
        </w:rPr>
        <w:t xml:space="preserve">Zakład Chorób Drobiu, Centrum Utrzymania Zwierząt Laboratoryjnych , Państwowy Instytut Weterynaryjny –Państwowy Instytut Badawczy, Al. Partyzantów 57, 24-100 Puławy, tel. (081) 889 30 66; fax: (081 886 25 95), e-mail: </w:t>
      </w:r>
      <w:hyperlink r:id="rId7" w:history="1">
        <w:r w:rsidRPr="002106FE">
          <w:rPr>
            <w:rStyle w:val="Hipercze"/>
            <w:color w:val="auto"/>
            <w:lang w:val="pl-PL" w:eastAsia="pl-PL"/>
          </w:rPr>
          <w:t>gtomczyk@piwet.pulawy.pl</w:t>
        </w:r>
      </w:hyperlink>
    </w:p>
    <w:p w:rsidR="00CF5A08" w:rsidRPr="002106FE" w:rsidRDefault="00CF5A08" w:rsidP="00CF5A08">
      <w:pPr>
        <w:ind w:left="1560" w:hanging="1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A08" w:rsidRPr="002106FE" w:rsidRDefault="00CF5A08" w:rsidP="00CF5A08">
      <w:pPr>
        <w:ind w:left="1560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FE">
        <w:rPr>
          <w:rFonts w:ascii="Times New Roman" w:hAnsi="Times New Roman" w:cs="Times New Roman"/>
          <w:bCs/>
          <w:sz w:val="28"/>
          <w:szCs w:val="28"/>
        </w:rPr>
        <w:t xml:space="preserve">Szkolenie specjalizacyjne trwa </w:t>
      </w:r>
      <w:r w:rsidRPr="002106FE">
        <w:rPr>
          <w:rFonts w:ascii="Times New Roman" w:hAnsi="Times New Roman" w:cs="Times New Roman"/>
        </w:rPr>
        <w:t>&gt;</w:t>
      </w:r>
      <w:r w:rsidRPr="002106FE">
        <w:rPr>
          <w:rFonts w:ascii="Times New Roman" w:hAnsi="Times New Roman" w:cs="Times New Roman"/>
          <w:bCs/>
          <w:sz w:val="28"/>
          <w:szCs w:val="28"/>
        </w:rPr>
        <w:t xml:space="preserve"> 4 semestry, </w:t>
      </w:r>
      <w:r w:rsidRPr="002106FE">
        <w:rPr>
          <w:rFonts w:ascii="Times New Roman" w:hAnsi="Times New Roman" w:cs="Times New Roman"/>
        </w:rPr>
        <w:t xml:space="preserve">&gt; </w:t>
      </w:r>
      <w:r w:rsidR="00CC077D" w:rsidRPr="002106FE">
        <w:rPr>
          <w:rFonts w:ascii="Times New Roman" w:hAnsi="Times New Roman" w:cs="Times New Roman"/>
          <w:bCs/>
          <w:sz w:val="28"/>
          <w:szCs w:val="28"/>
        </w:rPr>
        <w:t>164</w:t>
      </w:r>
      <w:r w:rsidRPr="002106FE">
        <w:rPr>
          <w:rFonts w:ascii="Times New Roman" w:hAnsi="Times New Roman" w:cs="Times New Roman"/>
          <w:bCs/>
          <w:sz w:val="28"/>
          <w:szCs w:val="28"/>
        </w:rPr>
        <w:t xml:space="preserve"> godzin wykładów, </w:t>
      </w:r>
      <w:r w:rsidRPr="002106FE">
        <w:rPr>
          <w:rFonts w:ascii="Times New Roman" w:hAnsi="Times New Roman" w:cs="Times New Roman"/>
        </w:rPr>
        <w:t xml:space="preserve">&gt; </w:t>
      </w:r>
      <w:r w:rsidR="00A5294A" w:rsidRPr="002106FE">
        <w:rPr>
          <w:rFonts w:ascii="Times New Roman" w:hAnsi="Times New Roman" w:cs="Times New Roman"/>
          <w:bCs/>
          <w:sz w:val="28"/>
          <w:szCs w:val="28"/>
        </w:rPr>
        <w:t xml:space="preserve">75 </w:t>
      </w:r>
      <w:r w:rsidRPr="002106FE">
        <w:rPr>
          <w:rFonts w:ascii="Times New Roman" w:hAnsi="Times New Roman" w:cs="Times New Roman"/>
          <w:bCs/>
          <w:sz w:val="28"/>
          <w:szCs w:val="28"/>
        </w:rPr>
        <w:t xml:space="preserve">godzin seminariów, </w:t>
      </w:r>
      <w:r w:rsidRPr="002106FE">
        <w:rPr>
          <w:rFonts w:ascii="Times New Roman" w:hAnsi="Times New Roman" w:cs="Times New Roman"/>
        </w:rPr>
        <w:t>&gt;</w:t>
      </w:r>
      <w:r w:rsidR="00A5294A" w:rsidRPr="002106FE">
        <w:rPr>
          <w:rFonts w:ascii="Times New Roman" w:hAnsi="Times New Roman" w:cs="Times New Roman"/>
          <w:bCs/>
          <w:sz w:val="28"/>
          <w:szCs w:val="28"/>
        </w:rPr>
        <w:t xml:space="preserve"> 53</w:t>
      </w:r>
      <w:r w:rsidRPr="002106FE">
        <w:rPr>
          <w:rFonts w:ascii="Times New Roman" w:hAnsi="Times New Roman" w:cs="Times New Roman"/>
          <w:bCs/>
          <w:sz w:val="28"/>
          <w:szCs w:val="28"/>
        </w:rPr>
        <w:t xml:space="preserve"> godzin ćwiczeń. </w:t>
      </w:r>
      <w:r w:rsidRPr="002106FE">
        <w:rPr>
          <w:rFonts w:ascii="Times New Roman" w:hAnsi="Times New Roman" w:cs="Times New Roman"/>
          <w:b/>
          <w:bCs/>
          <w:sz w:val="28"/>
          <w:szCs w:val="28"/>
        </w:rPr>
        <w:t xml:space="preserve">Łączna liczba godzin </w:t>
      </w:r>
      <w:r w:rsidRPr="002106FE">
        <w:rPr>
          <w:rFonts w:ascii="Times New Roman" w:hAnsi="Times New Roman" w:cs="Times New Roman"/>
          <w:b/>
        </w:rPr>
        <w:t>&gt;</w:t>
      </w:r>
      <w:r w:rsidR="001946F1" w:rsidRPr="002106FE">
        <w:rPr>
          <w:rFonts w:ascii="Times New Roman" w:hAnsi="Times New Roman" w:cs="Times New Roman"/>
          <w:b/>
          <w:bCs/>
          <w:sz w:val="28"/>
          <w:szCs w:val="28"/>
        </w:rPr>
        <w:t xml:space="preserve"> 292</w:t>
      </w:r>
      <w:r w:rsidRPr="002106FE">
        <w:rPr>
          <w:rFonts w:ascii="Times New Roman" w:hAnsi="Times New Roman" w:cs="Times New Roman"/>
          <w:b/>
          <w:bCs/>
          <w:sz w:val="28"/>
          <w:szCs w:val="28"/>
        </w:rPr>
        <w:t xml:space="preserve"> godzin.</w:t>
      </w:r>
    </w:p>
    <w:p w:rsidR="00CF5A08" w:rsidRPr="002106FE" w:rsidRDefault="00CF5A08" w:rsidP="00CF5A08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A08" w:rsidRPr="002106FE" w:rsidRDefault="00CF5A08" w:rsidP="00CF5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FE">
        <w:rPr>
          <w:rFonts w:ascii="Times New Roman" w:hAnsi="Times New Roman" w:cs="Times New Roman"/>
          <w:b/>
          <w:sz w:val="28"/>
          <w:szCs w:val="28"/>
        </w:rPr>
        <w:t xml:space="preserve">Zajęcia będą odbywać się w szesnastu 2-dniowych zjazdach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FE">
        <w:rPr>
          <w:rFonts w:ascii="Times New Roman" w:hAnsi="Times New Roman" w:cs="Times New Roman"/>
          <w:b/>
          <w:sz w:val="28"/>
          <w:szCs w:val="28"/>
        </w:rPr>
        <w:t>(4 zjazdy w semestrze).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FE">
        <w:rPr>
          <w:rFonts w:ascii="Times New Roman" w:hAnsi="Times New Roman" w:cs="Times New Roman"/>
          <w:b/>
          <w:sz w:val="28"/>
          <w:szCs w:val="28"/>
        </w:rPr>
        <w:t>Tematyka ogólna</w:t>
      </w: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32F24" w:rsidRPr="002106FE" w:rsidRDefault="00CF5A08" w:rsidP="00732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1. Prawne i etyczne podstawy specjalizacji i zawodu lekarza weterynarii.</w:t>
      </w:r>
      <w:r w:rsidR="00732F24" w:rsidRPr="002106FE">
        <w:rPr>
          <w:rFonts w:ascii="Times New Roman" w:hAnsi="Times New Roman" w:cs="Times New Roman"/>
          <w:sz w:val="26"/>
          <w:szCs w:val="26"/>
        </w:rPr>
        <w:t xml:space="preserve"> Cechy psychiczne i profil osobowościowy lekarza weterynarii  specjalisty chorób zwierząt laboratoryjnych</w:t>
      </w:r>
    </w:p>
    <w:p w:rsidR="00CF5A08" w:rsidRPr="002106FE" w:rsidRDefault="00CF5A08" w:rsidP="00CF5A0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A08" w:rsidRPr="002106FE" w:rsidRDefault="00111FEF" w:rsidP="00CF5A08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8 zagadnień</w:t>
      </w:r>
      <w:r w:rsidR="00732F24" w:rsidRPr="002106FE">
        <w:rPr>
          <w:rFonts w:ascii="Times New Roman" w:hAnsi="Times New Roman" w:cs="Times New Roman"/>
          <w:sz w:val="26"/>
          <w:szCs w:val="26"/>
        </w:rPr>
        <w:t xml:space="preserve"> </w:t>
      </w:r>
      <w:r w:rsidR="00C66251" w:rsidRPr="002106FE">
        <w:rPr>
          <w:rFonts w:ascii="Times New Roman" w:hAnsi="Times New Roman" w:cs="Times New Roman"/>
          <w:sz w:val="26"/>
          <w:szCs w:val="26"/>
        </w:rPr>
        <w:t>(1 – 8</w:t>
      </w:r>
      <w:r w:rsidR="00CF5A08" w:rsidRPr="002106FE">
        <w:rPr>
          <w:rFonts w:ascii="Times New Roman" w:hAnsi="Times New Roman" w:cs="Times New Roman"/>
          <w:sz w:val="26"/>
          <w:szCs w:val="26"/>
        </w:rPr>
        <w:t>) – 3</w:t>
      </w:r>
      <w:r w:rsidR="00DD5779" w:rsidRPr="002106FE">
        <w:rPr>
          <w:rFonts w:ascii="Times New Roman" w:hAnsi="Times New Roman" w:cs="Times New Roman"/>
          <w:sz w:val="26"/>
          <w:szCs w:val="26"/>
        </w:rPr>
        <w:t>3</w:t>
      </w:r>
      <w:r w:rsidRPr="002106FE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2. Zdrowie, biologia, chów i hodowla zwierząt laboratoryjnych. </w:t>
      </w:r>
    </w:p>
    <w:p w:rsidR="00CF5A08" w:rsidRPr="002106FE" w:rsidRDefault="00C66251" w:rsidP="00CF5A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12 zagadnień (9 - 23</w:t>
      </w:r>
      <w:r w:rsidR="00DD5779" w:rsidRPr="002106FE">
        <w:rPr>
          <w:rFonts w:ascii="Times New Roman" w:hAnsi="Times New Roman" w:cs="Times New Roman"/>
          <w:sz w:val="26"/>
          <w:szCs w:val="26"/>
        </w:rPr>
        <w:t>) – 47</w:t>
      </w:r>
      <w:r w:rsidR="00CF5A08" w:rsidRPr="002106FE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lastRenderedPageBreak/>
        <w:t>3. Zdrowie i bezpieczeństwo zwierząt laboratoryjnych.</w:t>
      </w:r>
    </w:p>
    <w:p w:rsidR="00732F24" w:rsidRPr="00B24CA7" w:rsidRDefault="00732F24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 xml:space="preserve">     Bezpieczeństwo pracy ze zwierzętami laboratoryjnymi (urazy, zakażenia i zoonozy) </w:t>
      </w:r>
    </w:p>
    <w:p w:rsidR="00732F24" w:rsidRPr="00B24CA7" w:rsidRDefault="00732F24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 xml:space="preserve">     u osób w trakcie eksperymentów badawczych  i w celach edukacyjnych</w:t>
      </w:r>
    </w:p>
    <w:p w:rsidR="00CF5A08" w:rsidRPr="00B24CA7" w:rsidRDefault="00111FEF" w:rsidP="00CF5A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1</w:t>
      </w:r>
      <w:r w:rsidR="00352D35" w:rsidRPr="00B24CA7">
        <w:rPr>
          <w:rFonts w:ascii="Times New Roman" w:hAnsi="Times New Roman" w:cs="Times New Roman"/>
          <w:sz w:val="26"/>
          <w:szCs w:val="26"/>
        </w:rPr>
        <w:t>3</w:t>
      </w:r>
      <w:r w:rsidR="00732F24" w:rsidRPr="00B24CA7">
        <w:rPr>
          <w:rFonts w:ascii="Times New Roman" w:hAnsi="Times New Roman" w:cs="Times New Roman"/>
          <w:sz w:val="26"/>
          <w:szCs w:val="26"/>
        </w:rPr>
        <w:t xml:space="preserve"> 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</w:t>
      </w:r>
      <w:r w:rsidR="00C66251" w:rsidRPr="00B24CA7">
        <w:rPr>
          <w:rFonts w:ascii="Times New Roman" w:hAnsi="Times New Roman" w:cs="Times New Roman"/>
          <w:sz w:val="26"/>
          <w:szCs w:val="26"/>
        </w:rPr>
        <w:t>zagadnień (24</w:t>
      </w:r>
      <w:r w:rsidR="00DD5779" w:rsidRPr="00B24CA7">
        <w:rPr>
          <w:rFonts w:ascii="Times New Roman" w:hAnsi="Times New Roman" w:cs="Times New Roman"/>
          <w:sz w:val="26"/>
          <w:szCs w:val="26"/>
        </w:rPr>
        <w:t xml:space="preserve"> – 36</w:t>
      </w:r>
      <w:r w:rsidRPr="00B24CA7">
        <w:rPr>
          <w:rFonts w:ascii="Times New Roman" w:hAnsi="Times New Roman" w:cs="Times New Roman"/>
          <w:sz w:val="26"/>
          <w:szCs w:val="26"/>
        </w:rPr>
        <w:t xml:space="preserve">) – </w:t>
      </w:r>
      <w:r w:rsidR="00352D35" w:rsidRPr="00B24CA7">
        <w:rPr>
          <w:rFonts w:ascii="Times New Roman" w:hAnsi="Times New Roman" w:cs="Times New Roman"/>
          <w:sz w:val="26"/>
          <w:szCs w:val="26"/>
        </w:rPr>
        <w:t>83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32F24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4. Przeprowadzanie zabiegów na zwierzętach laboratoryjnych.</w:t>
      </w:r>
    </w:p>
    <w:p w:rsidR="00732F24" w:rsidRPr="00B24CA7" w:rsidRDefault="00732F24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 xml:space="preserve">     Dobrostan zwierząt laboratoryjnych w hodowli, w transporcie i warunkach  </w:t>
      </w:r>
    </w:p>
    <w:p w:rsidR="00CF5A08" w:rsidRPr="00B24CA7" w:rsidRDefault="00732F24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 xml:space="preserve">     aklimatyzacji przed eksperymentem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A08" w:rsidRPr="00B24CA7" w:rsidRDefault="00352D35" w:rsidP="00CF5A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6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</w:t>
      </w:r>
      <w:r w:rsidR="00DD5779" w:rsidRPr="00B24CA7">
        <w:rPr>
          <w:rFonts w:ascii="Times New Roman" w:hAnsi="Times New Roman" w:cs="Times New Roman"/>
          <w:sz w:val="26"/>
          <w:szCs w:val="26"/>
        </w:rPr>
        <w:t>zagadnień (37 – 42</w:t>
      </w:r>
      <w:r w:rsidR="00111FEF" w:rsidRPr="00B24CA7">
        <w:rPr>
          <w:rFonts w:ascii="Times New Roman" w:hAnsi="Times New Roman" w:cs="Times New Roman"/>
          <w:sz w:val="26"/>
          <w:szCs w:val="26"/>
        </w:rPr>
        <w:t>) – 5</w:t>
      </w:r>
      <w:r w:rsidRPr="00B24CA7">
        <w:rPr>
          <w:rFonts w:ascii="Times New Roman" w:hAnsi="Times New Roman" w:cs="Times New Roman"/>
          <w:sz w:val="26"/>
          <w:szCs w:val="26"/>
        </w:rPr>
        <w:t>3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F5A08" w:rsidRPr="00B24CA7" w:rsidRDefault="00CF5A08" w:rsidP="00CF5A0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5. Planowanie i organizacja oraz statystyka i dokumentacja w eksperymentach naukowych.</w:t>
      </w:r>
    </w:p>
    <w:p w:rsidR="00CF5A08" w:rsidRPr="00B24CA7" w:rsidRDefault="00352D35" w:rsidP="00CF5A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11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zagadnień (</w:t>
      </w:r>
      <w:r w:rsidR="00DD5779" w:rsidRPr="00B24CA7">
        <w:rPr>
          <w:rFonts w:ascii="Times New Roman" w:hAnsi="Times New Roman" w:cs="Times New Roman"/>
          <w:sz w:val="26"/>
          <w:szCs w:val="26"/>
        </w:rPr>
        <w:t>43 – 53</w:t>
      </w:r>
      <w:r w:rsidRPr="00B24CA7">
        <w:rPr>
          <w:rFonts w:ascii="Times New Roman" w:hAnsi="Times New Roman" w:cs="Times New Roman"/>
          <w:sz w:val="26"/>
          <w:szCs w:val="26"/>
        </w:rPr>
        <w:t xml:space="preserve">) – </w:t>
      </w:r>
      <w:r w:rsidR="00CC077D" w:rsidRPr="00B24CA7">
        <w:rPr>
          <w:rFonts w:ascii="Times New Roman" w:hAnsi="Times New Roman" w:cs="Times New Roman"/>
          <w:sz w:val="26"/>
          <w:szCs w:val="26"/>
        </w:rPr>
        <w:t>69</w:t>
      </w:r>
      <w:r w:rsidR="00CF5A08" w:rsidRPr="00B24CA7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 xml:space="preserve">6. Konsultacje związane z egzaminem. </w:t>
      </w:r>
    </w:p>
    <w:p w:rsidR="00CF5A08" w:rsidRPr="00B24CA7" w:rsidRDefault="00CF5A08" w:rsidP="00CF5A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CA7">
        <w:rPr>
          <w:rFonts w:ascii="Times New Roman" w:hAnsi="Times New Roman" w:cs="Times New Roman"/>
          <w:sz w:val="26"/>
          <w:szCs w:val="26"/>
        </w:rPr>
        <w:t>10 h</w:t>
      </w:r>
    </w:p>
    <w:p w:rsidR="00CF5A08" w:rsidRPr="00B24CA7" w:rsidRDefault="00352D35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CA7">
        <w:rPr>
          <w:rFonts w:ascii="Times New Roman" w:hAnsi="Times New Roman" w:cs="Times New Roman"/>
          <w:b/>
          <w:sz w:val="26"/>
          <w:szCs w:val="26"/>
        </w:rPr>
        <w:t xml:space="preserve">Razem: </w:t>
      </w:r>
      <w:r w:rsidRPr="00B24CA7">
        <w:rPr>
          <w:rFonts w:ascii="Times New Roman" w:hAnsi="Times New Roman" w:cs="Times New Roman"/>
          <w:b/>
          <w:sz w:val="26"/>
          <w:szCs w:val="26"/>
        </w:rPr>
        <w:tab/>
      </w:r>
      <w:r w:rsidR="00A5294A" w:rsidRPr="00B24CA7">
        <w:rPr>
          <w:rFonts w:ascii="Times New Roman" w:hAnsi="Times New Roman" w:cs="Times New Roman"/>
          <w:b/>
          <w:sz w:val="26"/>
          <w:szCs w:val="26"/>
        </w:rPr>
        <w:t>53</w:t>
      </w:r>
      <w:r w:rsidRPr="00B24CA7">
        <w:rPr>
          <w:rFonts w:ascii="Times New Roman" w:hAnsi="Times New Roman" w:cs="Times New Roman"/>
          <w:b/>
          <w:sz w:val="26"/>
          <w:szCs w:val="26"/>
        </w:rPr>
        <w:t xml:space="preserve"> zagadnień – 2</w:t>
      </w:r>
      <w:r w:rsidR="002106FE" w:rsidRPr="00B24CA7">
        <w:rPr>
          <w:rFonts w:ascii="Times New Roman" w:hAnsi="Times New Roman" w:cs="Times New Roman"/>
          <w:b/>
          <w:sz w:val="26"/>
          <w:szCs w:val="26"/>
        </w:rPr>
        <w:t>82</w:t>
      </w:r>
      <w:r w:rsidR="00CF5A08" w:rsidRPr="00B24CA7">
        <w:rPr>
          <w:rFonts w:ascii="Times New Roman" w:hAnsi="Times New Roman" w:cs="Times New Roman"/>
          <w:b/>
          <w:sz w:val="26"/>
          <w:szCs w:val="26"/>
        </w:rPr>
        <w:t xml:space="preserve"> godzin</w:t>
      </w: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A08" w:rsidRPr="00B24CA7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A08" w:rsidRPr="00B24CA7" w:rsidRDefault="00CF5A08" w:rsidP="00CF5A08">
      <w:pPr>
        <w:keepNext/>
        <w:autoSpaceDE w:val="0"/>
        <w:autoSpaceDN w:val="0"/>
        <w:adjustRightInd w:val="0"/>
        <w:spacing w:after="240"/>
        <w:jc w:val="both"/>
        <w:outlineLvl w:val="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24CA7">
        <w:rPr>
          <w:rFonts w:ascii="Times New Roman" w:hAnsi="Times New Roman" w:cs="Times New Roman"/>
          <w:b/>
          <w:bCs/>
          <w:sz w:val="32"/>
          <w:szCs w:val="32"/>
        </w:rPr>
        <w:t>Szczegółowa tematyka wykładów, seminariów i ćwiczeń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53"/>
        <w:gridCol w:w="2452"/>
        <w:gridCol w:w="992"/>
        <w:gridCol w:w="992"/>
        <w:gridCol w:w="993"/>
      </w:tblGrid>
      <w:tr w:rsidR="00B24CA7" w:rsidRPr="00B24CA7" w:rsidTr="00CF468A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A7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A7"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A7">
              <w:rPr>
                <w:rFonts w:ascii="Times New Roman" w:hAnsi="Times New Roman" w:cs="Times New Roman"/>
                <w:b/>
                <w:sz w:val="28"/>
                <w:szCs w:val="28"/>
              </w:rPr>
              <w:t>Liczba godzin</w:t>
            </w:r>
          </w:p>
        </w:tc>
      </w:tr>
      <w:tr w:rsidR="00B24CA7" w:rsidRPr="00B24CA7" w:rsidTr="00CF468A">
        <w:trPr>
          <w:trHeight w:val="6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4CA7">
              <w:rPr>
                <w:rFonts w:ascii="Times New Roman" w:hAnsi="Times New Roman" w:cs="Times New Roman"/>
                <w:b/>
              </w:rPr>
              <w:t>wykła-dy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4CA7">
              <w:rPr>
                <w:rFonts w:ascii="Times New Roman" w:hAnsi="Times New Roman" w:cs="Times New Roman"/>
                <w:b/>
              </w:rPr>
              <w:t>semi-naria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4CA7">
              <w:rPr>
                <w:rFonts w:ascii="Times New Roman" w:hAnsi="Times New Roman" w:cs="Times New Roman"/>
                <w:b/>
              </w:rPr>
              <w:t>ćwicze-nia</w:t>
            </w:r>
            <w:proofErr w:type="spellEnd"/>
          </w:p>
        </w:tc>
      </w:tr>
      <w:tr w:rsidR="00B24CA7" w:rsidRPr="00B24CA7" w:rsidTr="00CF468A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Zagadnienia prawne specjalizacji i wykonywania zawodu lek. wet.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Cechy psych</w:t>
            </w:r>
            <w:r w:rsidR="00111FEF" w:rsidRPr="00B24CA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czne i profil osobowościowy lekarza weterynarii specjalisty chorób zwierząt laboratoryjnych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3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Doświadczenia na zwierzętach w ujęciu historycznym i prawnym: zwierzę jako model w badaniach naukowych, obowiązujące przepisy z kontrolą działalności hodowców i użytkowników oraz karami.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8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Prawna ochrona zwierząt laboratoryjnych w hodowli i w eksperymencie.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9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Etyczne aspekty użycia zwierząt laboratoryjnych, w tym zasady etyczne dotyczące relacji ludzi ze zwierzętami i wartości życia zwierząt. Modele argumentacji.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9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Odpowiedzialność zawodowa i cywilna i karna lekarza weterynarii.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9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Zasady etyki i deontologii weterynaryjnej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9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Lekarz weterynarii jako biegły w postępowaniach procesowych.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Optymalizacja warunków utrzymania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26E95" w:rsidRPr="00B24CA7" w:rsidRDefault="00F26E95" w:rsidP="00F26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E95" w:rsidRPr="00B24CA7" w:rsidRDefault="00F26E95" w:rsidP="00F26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Dobrostan zwierząt laboratoryjnych. Zasada 3R (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refinning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reducing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replacing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F26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E95" w:rsidRPr="00B24CA7" w:rsidRDefault="00F26E95" w:rsidP="00F26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Dobrostan zwierząt laboratoryjnych w hodowli,  transporcie i warunkach aklimatyzacji przed eksperymentem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F26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4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Projektowanie i obsługa zwierzętarni, zasady higieny.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4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Bezpieczeństwo pracy ze zwierzętami laboratoryjnymi (urazy, zakażenia i zoonozy) u osób w trakcie eksperymentów badawczych i w celach edukacyjnych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8" w:rsidRPr="00B24CA7" w:rsidRDefault="00490EB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4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Zarzadzanie obiektami hodowli zwierząt laboratoryjnych</w:t>
            </w:r>
          </w:p>
          <w:p w:rsidR="00F26E95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- systemy dostępu</w:t>
            </w:r>
          </w:p>
          <w:p w:rsidR="00F26E95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- nadzór i elektroniczne systemu dozoru i dokumentowanie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Warunki zoohigieniczne z uwzględnieniem norm utrzymania zwierząt laboratoryjnych i biologii gatunku. Codzienna opieka nad zwierzętami.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Zdrowie i higiena zwierząt przeznaczonych do wykorzystania lub wykorzystywanych w procedurach.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Zwierzęta laboratoryjne przed eksperymentem i w doświadczeniu – przygotowanie zwierząt do procedur i postępowanie z nimi.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Alternatywne metody badań w ograniczaniu liczby zużytych zwierząt w doświadczeniach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95" w:rsidRPr="00B24CA7" w:rsidRDefault="00F26E95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6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Wybrane zagadnienia z anatomii i fizjologii zwierząt laboratoryjnych, w tym zachowanie zwierząt z rozpoznawaniem właściwych dla gatunku oznak 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dystresu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, bólu, i cierpienia.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6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Taksonomia płazów, gadów i ryb oraz fizjologia ich układu pokarmowego, oddechowego i rozrodczego.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Metody hodowli z uwzględnieniem genetyki (konwencjonalne, SPF, 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gnotobionty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). Zwierzęta transgeniczne.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Żywienie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Wybrane zagadnienia z embriologii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Immunologia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Układ immunologiczny i mechanizmy obronne płazów, gadów i ryb.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Choroby niedoborowe.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Choroby zwierząt laboratoryjnych wywołane przez czynniki biologiczne. Zasady bezpieczeństwa pracy ze zwierzętami.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Choroby bakteryjne, wirusowe, grzybicze i pasożytnicze płazów, gadów i ryb.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Nowotwory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Wybrane zagadnienia z patologii klinicznej.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Zoonozy z zasadami bezpieczeństwa pracy ze zwierzętami.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7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Diagnostyka laboratoryjna zakażeń wirusowych, bakteryjnych i pasożytniczych.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4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Diagnostyka morfologiczna.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Monitoring stanu zdrowia zwierząt laboratoryjnych (w tym badania RTG i USG)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4CA7" w:rsidRPr="00B24CA7" w:rsidTr="00CF468A">
        <w:trPr>
          <w:trHeight w:val="7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Prewencja i leczenie chorób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7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Leczenie małych zwierząt egzotycznych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rPr>
          <w:trHeight w:val="4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Prewencja i zniesienie bólu zwierzęcia, w tym wpływ środków anestetycznych i </w:t>
            </w:r>
            <w:proofErr w:type="spellStart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przeciwbólo-wych</w:t>
            </w:r>
            <w:proofErr w:type="spellEnd"/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 na wynik doświadczenia.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Dawkowanie i metody podawania środków farmakologicznych.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Zapewnienie badaniom naukowym usług specjalistycznych w zakresie przed i po operacyjnej opieki.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1FEF" w:rsidRPr="00B24C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Znieczulenia do zabiegów, w tym metody uśmierzania bólu.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24CA7" w:rsidRPr="00B24CA7" w:rsidTr="00CF468A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1FEF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Chirurgia (popularnie stosowane techniki).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24CA7" w:rsidRPr="00B24CA7" w:rsidTr="00CF468A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Czynności przygotowawcze do eutanazji z zastosowaniem poznanych metod uśmiercania i ustalania śmierci zwierząt. Humanitarna eutanazja zwierząt z zasadami bezpieczeństwa i higieny pracy przy uśmiercaniu.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rPr>
          <w:trHeight w:val="7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Podstawy planowania procedur i doświadczeń, wdrażania projektów badawczych z użyciem zwierząt laboratoryjnych.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24CA7" w:rsidRPr="00B24CA7" w:rsidTr="00CF468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Humanitarne użycie zwierząt w badaniach biomedycznych z poszukiwaniem alternatyw.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Modele doświadczeń.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2D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2D" w:rsidRPr="00B24CA7" w:rsidRDefault="00DB702D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Ryby </w:t>
            </w:r>
            <w:r w:rsidRPr="00B24C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Danio </w:t>
            </w: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jaki idealny model badań eksperymentalnych w zakresie chorób układu kostnego zwierząt</w:t>
            </w:r>
            <w:r w:rsidR="00CC077D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2D" w:rsidRPr="00B24CA7" w:rsidRDefault="00A5294A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2D" w:rsidRPr="00B24CA7" w:rsidRDefault="00DB702D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2D" w:rsidRPr="00B24CA7" w:rsidRDefault="00DB702D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Praca z komputerem – nauka korzystania z komputerowych baz danych.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Lokalna komisja etyczna i Krajowa Komisja Etyczna – zadania i dokumentacja. Przygotowanie informacji dla przeprowadzenia oceny retrospektywnej doświadczenia.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4CA7" w:rsidRPr="00B24CA7" w:rsidTr="00CF46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Konsultacje i porady z zakresu przestrzegania prawa podczas doświadczeń na zwierzętach.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4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Kontrola i gospodarka odpadami weterynaryjnymi.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Dokumentacja w zwierzętarni, w tym przygotowanie informacji dotyczących doświadczeń na zwierzętach z uwzględnieniem informacji statystycznych, zgodnie z obowiązują-cym prawem.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5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 xml:space="preserve">Zasady szkolenia pracowników technicznych i pomocniczych.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4CA7" w:rsidRPr="00B24CA7" w:rsidTr="00CF468A">
        <w:trPr>
          <w:trHeight w:val="50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114C1C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CF5A08" w:rsidRPr="00B24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Konsultacje związane z egzaminem.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C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B24CA7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A08" w:rsidRPr="002106FE" w:rsidTr="00CF468A">
        <w:trPr>
          <w:trHeight w:val="379"/>
        </w:trPr>
        <w:tc>
          <w:tcPr>
            <w:tcW w:w="375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F5A08" w:rsidRPr="002106FE" w:rsidRDefault="00CF5A08" w:rsidP="00CF46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FE">
              <w:rPr>
                <w:rFonts w:ascii="Times New Roman" w:hAnsi="Times New Roman" w:cs="Times New Roman"/>
                <w:b/>
                <w:sz w:val="28"/>
                <w:szCs w:val="28"/>
              </w:rPr>
              <w:t>Razem wszystkich zajęć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5A08" w:rsidRPr="002106FE" w:rsidRDefault="00CF5A08" w:rsidP="00CF46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2106FE" w:rsidRDefault="001946F1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06FE" w:rsidRPr="002106F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2106FE" w:rsidRDefault="001946F1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6F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106FE" w:rsidRPr="002106F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2106FE" w:rsidRDefault="00CF5A08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6FE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</w:tr>
      <w:tr w:rsidR="00CF5A08" w:rsidRPr="002106FE" w:rsidTr="00CF468A">
        <w:trPr>
          <w:trHeight w:val="101"/>
        </w:trPr>
        <w:tc>
          <w:tcPr>
            <w:tcW w:w="375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F5A08" w:rsidRPr="002106FE" w:rsidRDefault="00CF5A08" w:rsidP="00CF46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2106FE" w:rsidRDefault="00CF5A08" w:rsidP="00CF46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8" w:rsidRPr="002106FE" w:rsidRDefault="001946F1" w:rsidP="00CF4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6FE">
              <w:rPr>
                <w:rFonts w:ascii="Times New Roman" w:hAnsi="Times New Roman" w:cs="Times New Roman"/>
                <w:b/>
                <w:sz w:val="26"/>
                <w:szCs w:val="26"/>
              </w:rPr>
              <w:t>292</w:t>
            </w:r>
          </w:p>
        </w:tc>
      </w:tr>
    </w:tbl>
    <w:p w:rsidR="00CF5A08" w:rsidRPr="002106FE" w:rsidRDefault="00CF5A08" w:rsidP="00CF5A08">
      <w:pPr>
        <w:spacing w:before="120" w:after="120"/>
        <w:jc w:val="both"/>
        <w:rPr>
          <w:rFonts w:ascii="Times New Roman" w:hAnsi="Times New Roman" w:cs="Times New Roman"/>
        </w:rPr>
      </w:pPr>
    </w:p>
    <w:p w:rsidR="00CF5A08" w:rsidRPr="002106FE" w:rsidRDefault="00CF5A08" w:rsidP="00CF5A0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06FE">
        <w:rPr>
          <w:rFonts w:ascii="Times New Roman" w:hAnsi="Times New Roman" w:cs="Times New Roman"/>
          <w:b/>
          <w:sz w:val="28"/>
          <w:szCs w:val="28"/>
        </w:rPr>
        <w:t>Wykaz najważniejszych pozycji zalecanego piśmiennictwa</w:t>
      </w:r>
      <w:r w:rsidRPr="002106FE">
        <w:rPr>
          <w:rFonts w:ascii="Times New Roman" w:hAnsi="Times New Roman" w:cs="Times New Roman"/>
          <w:sz w:val="28"/>
          <w:szCs w:val="28"/>
        </w:rPr>
        <w:t>: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</w:p>
    <w:p w:rsidR="00CF5A08" w:rsidRPr="002106FE" w:rsidRDefault="00CF5A08" w:rsidP="00CF5A08">
      <w:pPr>
        <w:spacing w:before="120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2106FE">
        <w:rPr>
          <w:rFonts w:ascii="Times New Roman" w:hAnsi="Times New Roman" w:cs="Times New Roman"/>
          <w:b/>
          <w:sz w:val="26"/>
          <w:szCs w:val="26"/>
        </w:rPr>
        <w:t>I. Podstawy specjalizacji i wykonywania zawodu oraz aspekty historyczne, prawne i etyczne przeprowadzania doświadczeń na zwierzętach w świetle prawa.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Ustawa z dnia 21 grudnia 1990 r. o zawodzie lekarza weterynarii i izbach lekarsko-weterynaryjnych.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2002 r., Nr 187, poz. 1567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>.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Ustawa z dnia 18 grudnia 2003 r. o zakładach leczniczych dla zwierząt.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2004 r., Nr 11, poz. 95.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>.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Uchwała nr 3/2008/VII Nadzwyczajnego Krajowego Zjazdu Lekarzy Weterynarii w sprawie Kodeksu Etyki Lekarza Weterynarii.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Życie Weterynaryjne z 2008 r., nr 3.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b/>
        </w:rPr>
      </w:pPr>
      <w:r w:rsidRPr="002106FE">
        <w:rPr>
          <w:rFonts w:ascii="Times New Roman" w:hAnsi="Times New Roman" w:cs="Times New Roman"/>
          <w:b/>
        </w:rPr>
        <w:t xml:space="preserve">II. Dobrostan zwierząt w świetle prawa.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Ustawa z dnia 21 sierpnia 1997 r. o ochronie zwierząt.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  <w:bCs/>
        </w:rPr>
      </w:pPr>
      <w:r w:rsidRPr="002106FE">
        <w:rPr>
          <w:rFonts w:ascii="Times New Roman" w:hAnsi="Times New Roman" w:cs="Times New Roman"/>
          <w:bCs/>
        </w:rPr>
        <w:t xml:space="preserve">Dz. U. z 2003 r. Nr 106, poz. 1002 z </w:t>
      </w:r>
      <w:proofErr w:type="spellStart"/>
      <w:r w:rsidRPr="002106FE">
        <w:rPr>
          <w:rFonts w:ascii="Times New Roman" w:hAnsi="Times New Roman" w:cs="Times New Roman"/>
          <w:bCs/>
        </w:rPr>
        <w:t>późn</w:t>
      </w:r>
      <w:proofErr w:type="spellEnd"/>
      <w:r w:rsidRPr="002106FE">
        <w:rPr>
          <w:rFonts w:ascii="Times New Roman" w:hAnsi="Times New Roman" w:cs="Times New Roman"/>
          <w:bCs/>
        </w:rPr>
        <w:t>.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Ustawa z dnia 15 stycznia 2015 r. o ochronie zwierząt wykorzystywanych do celów naukowych lub edukacyjnych.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2015 r., poz. 266 z </w:t>
      </w:r>
      <w:proofErr w:type="spellStart"/>
      <w:r w:rsidRPr="002106FE">
        <w:rPr>
          <w:rFonts w:ascii="Times New Roman" w:hAnsi="Times New Roman" w:cs="Times New Roman"/>
          <w:bCs/>
        </w:rPr>
        <w:t>późn</w:t>
      </w:r>
      <w:proofErr w:type="spellEnd"/>
      <w:r w:rsidRPr="002106FE">
        <w:rPr>
          <w:rFonts w:ascii="Times New Roman" w:hAnsi="Times New Roman" w:cs="Times New Roman"/>
          <w:bCs/>
        </w:rPr>
        <w:t>.</w:t>
      </w:r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Rozporządzenie Ministra Nauki i Informatyzacji w sprawie kwalifikacji osób nadzorujących doświadczenie na zwierzętach, przeprowadzających doświadczenie i uczestniczących w doświadczeniu oraz wzoru zezwolenia indywidualnego dla osób przeprowadzających doświadczenia.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2005 r., Nr 153, poz. 1273,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>.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b/>
        </w:rPr>
      </w:pP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b/>
        </w:rPr>
      </w:pPr>
      <w:r w:rsidRPr="002106FE">
        <w:rPr>
          <w:rFonts w:ascii="Times New Roman" w:hAnsi="Times New Roman" w:cs="Times New Roman"/>
          <w:b/>
        </w:rPr>
        <w:t>III. Pozostałe zagadnienia prawne.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Ustawa z dnia 6 września 2001 r. Prawo farmaceutyczne.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2004 r., Nr 53, poz. 533 z </w:t>
      </w:r>
      <w:proofErr w:type="spellStart"/>
      <w:r w:rsidRPr="002106FE">
        <w:rPr>
          <w:rFonts w:ascii="Times New Roman" w:hAnsi="Times New Roman" w:cs="Times New Roman"/>
          <w:bCs/>
        </w:rPr>
        <w:t>późn</w:t>
      </w:r>
      <w:proofErr w:type="spellEnd"/>
      <w:r w:rsidRPr="002106FE">
        <w:rPr>
          <w:rFonts w:ascii="Times New Roman" w:hAnsi="Times New Roman" w:cs="Times New Roman"/>
          <w:bCs/>
        </w:rPr>
        <w:t>.</w:t>
      </w:r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Ustawa z dnia 11 marca 2004 r. o ochronie zdrowia zwierząt oraz zwalczanie chorób zakaźnych zwierząt.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2004 r., Nr 69, poz. 625. z </w:t>
      </w:r>
      <w:proofErr w:type="spellStart"/>
      <w:r w:rsidRPr="002106FE">
        <w:rPr>
          <w:rFonts w:ascii="Times New Roman" w:hAnsi="Times New Roman" w:cs="Times New Roman"/>
          <w:bCs/>
        </w:rPr>
        <w:t>późn</w:t>
      </w:r>
      <w:proofErr w:type="spellEnd"/>
      <w:r w:rsidRPr="002106FE">
        <w:rPr>
          <w:rFonts w:ascii="Times New Roman" w:hAnsi="Times New Roman" w:cs="Times New Roman"/>
          <w:bCs/>
        </w:rPr>
        <w:t>.</w:t>
      </w:r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lastRenderedPageBreak/>
        <w:t xml:space="preserve">Rozporządzenie Ministra Rolnictwa i Rozwoju Wsi z dnia 4 czerwca 2008 r. w sprawie kategorii stosowania produktu leczniczego weterynaryjnego oraz kryteriów zaliczania produktu leczniczego weterynaryjnego do poszczególnych kategorii stosowania i dostępności. Dz. U. z 2008 r., Nr 107, poz. 683.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Rozporządzenie Ministra Rolnictwa i Rozwoju Wsi z dnia 28 kwietnia 2004 r. w sprawie zakresu i sposobu prowadzenia ewidencji leczenia zwierząt i dokumentacji lekarsko-weterynaryjnej.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2004 r., Nr 100, poz. 1022,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. zm.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Rozporządzenie Ministra Rolnictwa i Rozwoju Wsi z 17 października 2008 r. w sprawie prowadzenia dokumentacji obrotu produktami leczniczymi. 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2008 r., Nr 200, poz. 1236,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>.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Rozporządzenie Ministra Zdrowia z dnia 27 listopada 2008 r. w sprawie sposobu postępowania przy stosowaniu produktów leczniczych, w sytuacji gdy brak jest odpowiedniego produktu leczniczego weterynaryjnego dopuszczonego do obrotu dla danego gatunku zwierząt.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2008 r., Nr 217, poz. 1388,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Rozporządzenie Ministra Nauki i Szkolnictwa Wyższego z dnia 5 maja 2015 r. w sprawie szkoleń, praktyk i staży dla osób wykonujących czynności związane z wykorzystywaniem zwierząt do celów naukowych lub edukacyjnych.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2015 r., Nr 217, poz. 628,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Rozporządzenie Ministra Nauki i Szkolnictwa Wyższego z dnia 5 maja 2015 r. w sprawie Krajowej Komisji Etycznej do Spraw Doświadczeń na Zwierzętach oraz lokalnych komisji etycznych do spraw doświadczeń na zwierzętach.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2015 r., poz. 630,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eastAsia="Times New Roman" w:hAnsi="Times New Roman" w:cs="Times New Roman"/>
          <w:bCs/>
        </w:rPr>
        <w:t xml:space="preserve">Rozporządzenie Ministra Nauki i Szkolnictwa Wyższego </w:t>
      </w:r>
      <w:r w:rsidRPr="002106FE">
        <w:rPr>
          <w:rFonts w:ascii="Times New Roman" w:eastAsia="Times New Roman" w:hAnsi="Times New Roman" w:cs="Times New Roman"/>
        </w:rPr>
        <w:t xml:space="preserve">z dnia 4 listopada 2015 r. </w:t>
      </w:r>
      <w:r w:rsidRPr="002106FE">
        <w:rPr>
          <w:rFonts w:ascii="Times New Roman" w:eastAsia="Times New Roman" w:hAnsi="Times New Roman" w:cs="Times New Roman"/>
          <w:bCs/>
        </w:rPr>
        <w:t>w sprawie informacji dotyczących zwierząt wykorzystywanych w procedurach oraz trybu przekazywania tych informacji.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2015 r., poz. 1934,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bCs/>
        </w:rPr>
      </w:pPr>
      <w:r w:rsidRPr="002106FE">
        <w:rPr>
          <w:rFonts w:ascii="Times New Roman" w:eastAsia="Times New Roman" w:hAnsi="Times New Roman" w:cs="Times New Roman"/>
          <w:bCs/>
        </w:rPr>
        <w:t xml:space="preserve">Rozporządzenie Ministra Rolnictwa i Rozwoju Wsi </w:t>
      </w:r>
      <w:r w:rsidRPr="002106FE">
        <w:rPr>
          <w:rFonts w:ascii="Times New Roman" w:eastAsia="Times New Roman" w:hAnsi="Times New Roman" w:cs="Times New Roman"/>
        </w:rPr>
        <w:t xml:space="preserve">z dnia 14 grudnia 2016 r. </w:t>
      </w:r>
      <w:r w:rsidRPr="002106FE">
        <w:rPr>
          <w:rFonts w:ascii="Times New Roman" w:eastAsia="Times New Roman" w:hAnsi="Times New Roman" w:cs="Times New Roman"/>
          <w:bCs/>
        </w:rPr>
        <w:t>w sprawie minimalnych wymagań, jakie powinien spełniać ośrodek, oraz minimalnych wymagań w zakresie opieki nad zwierzętami utrzymywanymi w ośrodku.</w:t>
      </w:r>
    </w:p>
    <w:p w:rsidR="00CF5A08" w:rsidRPr="002106FE" w:rsidRDefault="00CF5A08" w:rsidP="00CF5A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Dz. U. z 2015 r., poz. 2139, z </w:t>
      </w:r>
      <w:proofErr w:type="spellStart"/>
      <w:r w:rsidRPr="002106FE">
        <w:rPr>
          <w:rFonts w:ascii="Times New Roman" w:hAnsi="Times New Roman" w:cs="Times New Roman"/>
        </w:rPr>
        <w:t>późn</w:t>
      </w:r>
      <w:proofErr w:type="spellEnd"/>
      <w:r w:rsidRPr="002106FE">
        <w:rPr>
          <w:rFonts w:ascii="Times New Roman" w:hAnsi="Times New Roman" w:cs="Times New Roman"/>
        </w:rPr>
        <w:t xml:space="preserve"> zm.</w:t>
      </w:r>
    </w:p>
    <w:p w:rsidR="00CF5A08" w:rsidRPr="002106FE" w:rsidRDefault="00CF5A08" w:rsidP="00CF5A08">
      <w:pPr>
        <w:jc w:val="both"/>
        <w:rPr>
          <w:rFonts w:ascii="Times New Roman" w:hAnsi="Times New Roman" w:cs="Times New Roman"/>
        </w:rPr>
      </w:pPr>
    </w:p>
    <w:p w:rsidR="00CF5A08" w:rsidRPr="002106FE" w:rsidRDefault="00DB702D" w:rsidP="00CF5A08">
      <w:pPr>
        <w:spacing w:before="120"/>
        <w:jc w:val="both"/>
        <w:rPr>
          <w:rFonts w:ascii="Times New Roman" w:hAnsi="Times New Roman" w:cs="Times New Roman"/>
          <w:b/>
          <w:lang w:val="en-US"/>
        </w:rPr>
      </w:pPr>
      <w:r w:rsidRPr="002106FE">
        <w:rPr>
          <w:rFonts w:ascii="Times New Roman" w:hAnsi="Times New Roman" w:cs="Times New Roman"/>
          <w:b/>
          <w:lang w:val="en-US"/>
        </w:rPr>
        <w:t xml:space="preserve">IV. </w:t>
      </w:r>
      <w:proofErr w:type="spellStart"/>
      <w:r w:rsidRPr="002106FE">
        <w:rPr>
          <w:rFonts w:ascii="Times New Roman" w:hAnsi="Times New Roman" w:cs="Times New Roman"/>
          <w:b/>
          <w:lang w:val="en-US"/>
        </w:rPr>
        <w:t>Artykuły</w:t>
      </w:r>
      <w:proofErr w:type="spellEnd"/>
      <w:r w:rsidRPr="002106FE">
        <w:rPr>
          <w:rFonts w:ascii="Times New Roman" w:hAnsi="Times New Roman" w:cs="Times New Roman"/>
          <w:b/>
          <w:lang w:val="en-US"/>
        </w:rPr>
        <w:t xml:space="preserve"> i </w:t>
      </w:r>
      <w:proofErr w:type="spellStart"/>
      <w:r w:rsidRPr="002106FE">
        <w:rPr>
          <w:rFonts w:ascii="Times New Roman" w:hAnsi="Times New Roman" w:cs="Times New Roman"/>
          <w:b/>
          <w:lang w:val="en-US"/>
        </w:rPr>
        <w:t>książki</w:t>
      </w:r>
      <w:proofErr w:type="spellEnd"/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2106FE">
        <w:rPr>
          <w:rFonts w:ascii="Times New Roman" w:hAnsi="Times New Roman" w:cs="Times New Roman"/>
          <w:lang w:val="en-US"/>
        </w:rPr>
        <w:t xml:space="preserve">Banister K., </w:t>
      </w:r>
      <w:proofErr w:type="spellStart"/>
      <w:r w:rsidRPr="002106FE">
        <w:rPr>
          <w:rFonts w:ascii="Times New Roman" w:hAnsi="Times New Roman" w:cs="Times New Roman"/>
          <w:lang w:val="en-US"/>
        </w:rPr>
        <w:t>Baumans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V., </w:t>
      </w:r>
      <w:proofErr w:type="spellStart"/>
      <w:r w:rsidRPr="002106FE">
        <w:rPr>
          <w:rFonts w:ascii="Times New Roman" w:hAnsi="Times New Roman" w:cs="Times New Roman"/>
          <w:lang w:val="en-US"/>
        </w:rPr>
        <w:t>Bernoth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E.M., </w:t>
      </w:r>
      <w:proofErr w:type="spellStart"/>
      <w:r w:rsidRPr="002106FE">
        <w:rPr>
          <w:rFonts w:ascii="Times New Roman" w:hAnsi="Times New Roman" w:cs="Times New Roman"/>
          <w:lang w:val="en-US"/>
        </w:rPr>
        <w:t>Bromage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N., Bunyan J., Erhard W., </w:t>
      </w:r>
      <w:proofErr w:type="spellStart"/>
      <w:r w:rsidRPr="002106FE">
        <w:rPr>
          <w:rFonts w:ascii="Times New Roman" w:hAnsi="Times New Roman" w:cs="Times New Roman"/>
          <w:lang w:val="en-US"/>
        </w:rPr>
        <w:t>Flecknell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P., Gregory N., </w:t>
      </w:r>
      <w:proofErr w:type="spellStart"/>
      <w:r w:rsidRPr="002106FE">
        <w:rPr>
          <w:rFonts w:ascii="Times New Roman" w:hAnsi="Times New Roman" w:cs="Times New Roman"/>
          <w:lang w:val="en-US"/>
        </w:rPr>
        <w:t>Hackbarth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H., Morton D., Warwick C., 1996. Recommendation for euthanasia of experimental animal: Part 1. Laboratory Animals, 30: 293-316.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2106FE">
        <w:rPr>
          <w:rFonts w:ascii="Times New Roman" w:hAnsi="Times New Roman" w:cs="Times New Roman"/>
          <w:lang w:val="en-US"/>
        </w:rPr>
        <w:lastRenderedPageBreak/>
        <w:t xml:space="preserve">Banister K., </w:t>
      </w:r>
      <w:proofErr w:type="spellStart"/>
      <w:r w:rsidRPr="002106FE">
        <w:rPr>
          <w:rFonts w:ascii="Times New Roman" w:hAnsi="Times New Roman" w:cs="Times New Roman"/>
          <w:lang w:val="en-US"/>
        </w:rPr>
        <w:t>Baumans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V., </w:t>
      </w:r>
      <w:proofErr w:type="spellStart"/>
      <w:r w:rsidRPr="002106FE">
        <w:rPr>
          <w:rFonts w:ascii="Times New Roman" w:hAnsi="Times New Roman" w:cs="Times New Roman"/>
          <w:lang w:val="en-US"/>
        </w:rPr>
        <w:t>Bernoth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E.M., </w:t>
      </w:r>
      <w:proofErr w:type="spellStart"/>
      <w:r w:rsidRPr="002106FE">
        <w:rPr>
          <w:rFonts w:ascii="Times New Roman" w:hAnsi="Times New Roman" w:cs="Times New Roman"/>
          <w:lang w:val="en-US"/>
        </w:rPr>
        <w:t>Bromage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N., Bunyan J., Erhard W., </w:t>
      </w:r>
      <w:proofErr w:type="spellStart"/>
      <w:r w:rsidRPr="002106FE">
        <w:rPr>
          <w:rFonts w:ascii="Times New Roman" w:hAnsi="Times New Roman" w:cs="Times New Roman"/>
          <w:lang w:val="en-US"/>
        </w:rPr>
        <w:t>Flecknell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P., Gregory N., </w:t>
      </w:r>
      <w:proofErr w:type="spellStart"/>
      <w:r w:rsidRPr="002106FE">
        <w:rPr>
          <w:rFonts w:ascii="Times New Roman" w:hAnsi="Times New Roman" w:cs="Times New Roman"/>
          <w:lang w:val="en-US"/>
        </w:rPr>
        <w:t>Hackbarth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H., Morton D., Warwick C., 1996. Recommendation for euthanasia of experimental animal: Part 2. Laboratory Animals, 31: 1-32.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  <w:lang w:val="en-US"/>
        </w:rPr>
        <w:t>Felsmann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M.Z., </w:t>
      </w:r>
      <w:proofErr w:type="spellStart"/>
      <w:r w:rsidRPr="002106FE">
        <w:rPr>
          <w:rFonts w:ascii="Times New Roman" w:hAnsi="Times New Roman" w:cs="Times New Roman"/>
          <w:lang w:val="en-US"/>
        </w:rPr>
        <w:t>Szarek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J., </w:t>
      </w:r>
      <w:proofErr w:type="spellStart"/>
      <w:r w:rsidRPr="002106FE">
        <w:rPr>
          <w:rFonts w:ascii="Times New Roman" w:hAnsi="Times New Roman" w:cs="Times New Roman"/>
          <w:lang w:val="en-US"/>
        </w:rPr>
        <w:t>Felsmann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2106FE">
        <w:rPr>
          <w:rFonts w:ascii="Times New Roman" w:hAnsi="Times New Roman" w:cs="Times New Roman"/>
          <w:bCs/>
          <w:lang w:val="en-US"/>
        </w:rPr>
        <w:t>Strzyżewska</w:t>
      </w:r>
      <w:proofErr w:type="spellEnd"/>
      <w:r w:rsidRPr="002106FE">
        <w:rPr>
          <w:rFonts w:ascii="Times New Roman" w:hAnsi="Times New Roman" w:cs="Times New Roman"/>
          <w:bCs/>
          <w:lang w:val="en-US"/>
        </w:rPr>
        <w:t xml:space="preserve"> E., 2014. Protection of animals used in experiments in Polish law – history, present day and perspective: a review. </w:t>
      </w:r>
      <w:proofErr w:type="spellStart"/>
      <w:r w:rsidRPr="002106FE">
        <w:rPr>
          <w:rFonts w:ascii="Times New Roman" w:hAnsi="Times New Roman" w:cs="Times New Roman"/>
          <w:bCs/>
        </w:rPr>
        <w:t>Veterinarni</w:t>
      </w:r>
      <w:proofErr w:type="spellEnd"/>
      <w:r w:rsidRPr="002106FE">
        <w:rPr>
          <w:rFonts w:ascii="Times New Roman" w:hAnsi="Times New Roman" w:cs="Times New Roman"/>
          <w:bCs/>
        </w:rPr>
        <w:t xml:space="preserve"> </w:t>
      </w:r>
      <w:proofErr w:type="spellStart"/>
      <w:r w:rsidRPr="002106FE">
        <w:rPr>
          <w:rFonts w:ascii="Times New Roman" w:hAnsi="Times New Roman" w:cs="Times New Roman"/>
          <w:bCs/>
        </w:rPr>
        <w:t>Medicina</w:t>
      </w:r>
      <w:proofErr w:type="spellEnd"/>
      <w:r w:rsidRPr="002106FE">
        <w:rPr>
          <w:rFonts w:ascii="Times New Roman" w:hAnsi="Times New Roman" w:cs="Times New Roman"/>
          <w:bCs/>
        </w:rPr>
        <w:t xml:space="preserve">, </w:t>
      </w:r>
      <w:r w:rsidRPr="002106FE">
        <w:rPr>
          <w:rFonts w:ascii="Times New Roman" w:hAnsi="Times New Roman" w:cs="Times New Roman"/>
        </w:rPr>
        <w:t>59(3): 117-123.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2106FE">
        <w:rPr>
          <w:rFonts w:ascii="Times New Roman" w:hAnsi="Times New Roman" w:cs="Times New Roman"/>
        </w:rPr>
        <w:t>Felsmann</w:t>
      </w:r>
      <w:proofErr w:type="spellEnd"/>
      <w:r w:rsidRPr="002106FE">
        <w:rPr>
          <w:rFonts w:ascii="Times New Roman" w:hAnsi="Times New Roman" w:cs="Times New Roman"/>
        </w:rPr>
        <w:t xml:space="preserve"> M.Z., Szarek J., Szarek-</w:t>
      </w:r>
      <w:proofErr w:type="spellStart"/>
      <w:r w:rsidRPr="002106FE">
        <w:rPr>
          <w:rFonts w:ascii="Times New Roman" w:hAnsi="Times New Roman" w:cs="Times New Roman"/>
        </w:rPr>
        <w:t>Bęska</w:t>
      </w:r>
      <w:proofErr w:type="spellEnd"/>
      <w:r w:rsidRPr="002106FE">
        <w:rPr>
          <w:rFonts w:ascii="Times New Roman" w:hAnsi="Times New Roman" w:cs="Times New Roman"/>
        </w:rPr>
        <w:t xml:space="preserve"> A.B., Babińska I., 2015. Doświadczenia na zwierzętach w świetle prawa a rola lekarza weterynarii. </w:t>
      </w:r>
      <w:r w:rsidRPr="002106FE">
        <w:rPr>
          <w:rFonts w:ascii="Times New Roman" w:hAnsi="Times New Roman" w:cs="Times New Roman"/>
          <w:noProof/>
          <w:lang w:val="en-US"/>
        </w:rPr>
        <w:t>Medycyna Weterynaryjn</w:t>
      </w:r>
      <w:r w:rsidRPr="002106FE">
        <w:rPr>
          <w:rFonts w:ascii="Times New Roman" w:hAnsi="Times New Roman" w:cs="Times New Roman"/>
          <w:lang w:val="en-US"/>
        </w:rPr>
        <w:t xml:space="preserve">a, 71(1): 13-17.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2106FE">
        <w:rPr>
          <w:rFonts w:ascii="Times New Roman" w:hAnsi="Times New Roman" w:cs="Times New Roman"/>
          <w:lang w:val="en-US"/>
        </w:rPr>
        <w:t>Festing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M.F., 1994. Reduction of Animals use: experimental design and quality of experiments Laboratory Animals, 28: 212-221.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Golec W., 1999. Lekarze weterynarii wobec bioetyki zwierząt. Życie Weterynaryjne, 74 (12): 588-590.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Guzek J.W., 1996. Zwierzęta laboratoryjne a proces nauczania na wydziałach lekarskich i weterynaryjnych. Życie Weterynaryjne, 71 (6): 167-169.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</w:rPr>
        <w:t>Horzinek</w:t>
      </w:r>
      <w:proofErr w:type="spellEnd"/>
      <w:r w:rsidRPr="002106FE">
        <w:rPr>
          <w:rFonts w:ascii="Times New Roman" w:hAnsi="Times New Roman" w:cs="Times New Roman"/>
        </w:rPr>
        <w:t xml:space="preserve"> M.C., </w:t>
      </w:r>
      <w:proofErr w:type="spellStart"/>
      <w:r w:rsidRPr="002106FE">
        <w:rPr>
          <w:rFonts w:ascii="Times New Roman" w:hAnsi="Times New Roman" w:cs="Times New Roman"/>
        </w:rPr>
        <w:t>Vaartjes</w:t>
      </w:r>
      <w:proofErr w:type="spellEnd"/>
      <w:r w:rsidRPr="002106FE">
        <w:rPr>
          <w:rFonts w:ascii="Times New Roman" w:hAnsi="Times New Roman" w:cs="Times New Roman"/>
        </w:rPr>
        <w:t xml:space="preserve"> J., 1998. Ocena jakości badań weterynaryjnych w Holandii. Medycyna Weterynaryjna, 54 (3): 205-207.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Kania B.F., 2002. Fizjologia i patologia bólu. Medycyna Weterynaryjna, 58 (3): 175-180.</w:t>
      </w:r>
    </w:p>
    <w:p w:rsidR="00A21642" w:rsidRPr="002106FE" w:rsidRDefault="00A21642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</w:rPr>
        <w:t>Katkiewicz</w:t>
      </w:r>
      <w:proofErr w:type="spellEnd"/>
      <w:r w:rsidRPr="002106FE">
        <w:rPr>
          <w:rFonts w:ascii="Times New Roman" w:hAnsi="Times New Roman" w:cs="Times New Roman"/>
        </w:rPr>
        <w:t xml:space="preserve"> M., 1989. Zwierzęta laboratoryjne-</w:t>
      </w:r>
      <w:r w:rsidR="00114C1C" w:rsidRPr="002106FE">
        <w:rPr>
          <w:rFonts w:ascii="Times New Roman" w:hAnsi="Times New Roman" w:cs="Times New Roman"/>
        </w:rPr>
        <w:t xml:space="preserve"> </w:t>
      </w:r>
      <w:r w:rsidRPr="002106FE">
        <w:rPr>
          <w:rFonts w:ascii="Times New Roman" w:hAnsi="Times New Roman" w:cs="Times New Roman"/>
        </w:rPr>
        <w:t>choroby i użytkowanie, Wydawnictwo SGGW-AR.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Kodeks Dobrej Praktyki Weterynaryjnej. Krajowa Izba Lekarsko-Weterynaryjna, Warszawa, 2004.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Kowalski A., 2000. Zjawisko dominacji i jego filozoficzne implikacje u zwierząt. Medycyna Weterynaryjna, 56 (9): 543-546.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</w:rPr>
        <w:t>Lapras</w:t>
      </w:r>
      <w:proofErr w:type="spellEnd"/>
      <w:r w:rsidRPr="002106FE">
        <w:rPr>
          <w:rFonts w:ascii="Times New Roman" w:hAnsi="Times New Roman" w:cs="Times New Roman"/>
        </w:rPr>
        <w:t xml:space="preserve"> M., 1994. Zwierzę jako model w poznawaniu zjawisk biologicznych. Życie Weterynaryjne, 9: 325-329.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Minta M.B., Włodarczyk B., Biernacki B., Żmudzki J., 1988. Możliwości ograniczania liczby zwierząt w badaniach toksykologicznych. Medycyna Weterynaryjna, 54 (10): 663- 666.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Mól H., 1999. Dwadzieścia lat Światowej Deklaracji Praw Zwierząt. Życie Weterynaryjne, 74 (9): 467.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2106FE">
        <w:rPr>
          <w:rFonts w:ascii="Times New Roman" w:hAnsi="Times New Roman" w:cs="Times New Roman"/>
        </w:rPr>
        <w:t>Nevalainen</w:t>
      </w:r>
      <w:proofErr w:type="spellEnd"/>
      <w:r w:rsidRPr="002106FE">
        <w:rPr>
          <w:rFonts w:ascii="Times New Roman" w:hAnsi="Times New Roman" w:cs="Times New Roman"/>
        </w:rPr>
        <w:t xml:space="preserve"> T., </w:t>
      </w:r>
      <w:proofErr w:type="spellStart"/>
      <w:r w:rsidRPr="002106FE">
        <w:rPr>
          <w:rFonts w:ascii="Times New Roman" w:hAnsi="Times New Roman" w:cs="Times New Roman"/>
        </w:rPr>
        <w:t>Donats</w:t>
      </w:r>
      <w:proofErr w:type="spellEnd"/>
      <w:r w:rsidRPr="002106FE">
        <w:rPr>
          <w:rFonts w:ascii="Times New Roman" w:hAnsi="Times New Roman" w:cs="Times New Roman"/>
        </w:rPr>
        <w:t xml:space="preserve"> I., </w:t>
      </w:r>
      <w:proofErr w:type="spellStart"/>
      <w:r w:rsidRPr="002106FE">
        <w:rPr>
          <w:rFonts w:ascii="Times New Roman" w:hAnsi="Times New Roman" w:cs="Times New Roman"/>
        </w:rPr>
        <w:t>Forslid</w:t>
      </w:r>
      <w:proofErr w:type="spellEnd"/>
      <w:r w:rsidRPr="002106FE">
        <w:rPr>
          <w:rFonts w:ascii="Times New Roman" w:hAnsi="Times New Roman" w:cs="Times New Roman"/>
        </w:rPr>
        <w:t xml:space="preserve"> A., Howard B.E., </w:t>
      </w:r>
      <w:proofErr w:type="spellStart"/>
      <w:r w:rsidRPr="002106FE">
        <w:rPr>
          <w:rFonts w:ascii="Times New Roman" w:hAnsi="Times New Roman" w:cs="Times New Roman"/>
        </w:rPr>
        <w:t>Klusa</w:t>
      </w:r>
      <w:proofErr w:type="spellEnd"/>
      <w:r w:rsidRPr="002106FE">
        <w:rPr>
          <w:rFonts w:ascii="Times New Roman" w:hAnsi="Times New Roman" w:cs="Times New Roman"/>
        </w:rPr>
        <w:t xml:space="preserve"> V., </w:t>
      </w:r>
      <w:proofErr w:type="spellStart"/>
      <w:r w:rsidRPr="002106FE">
        <w:rPr>
          <w:rFonts w:ascii="Times New Roman" w:hAnsi="Times New Roman" w:cs="Times New Roman"/>
        </w:rPr>
        <w:t>Kaserman</w:t>
      </w:r>
      <w:proofErr w:type="spellEnd"/>
      <w:r w:rsidRPr="002106FE">
        <w:rPr>
          <w:rFonts w:ascii="Times New Roman" w:hAnsi="Times New Roman" w:cs="Times New Roman"/>
        </w:rPr>
        <w:t xml:space="preserve"> H.P., </w:t>
      </w:r>
      <w:proofErr w:type="spellStart"/>
      <w:r w:rsidRPr="002106FE">
        <w:rPr>
          <w:rFonts w:ascii="Times New Roman" w:hAnsi="Times New Roman" w:cs="Times New Roman"/>
        </w:rPr>
        <w:t>Melloni</w:t>
      </w:r>
      <w:proofErr w:type="spellEnd"/>
      <w:r w:rsidRPr="002106FE">
        <w:rPr>
          <w:rFonts w:ascii="Times New Roman" w:hAnsi="Times New Roman" w:cs="Times New Roman"/>
        </w:rPr>
        <w:t xml:space="preserve"> E., </w:t>
      </w:r>
      <w:proofErr w:type="spellStart"/>
      <w:r w:rsidRPr="002106FE">
        <w:rPr>
          <w:rFonts w:ascii="Times New Roman" w:hAnsi="Times New Roman" w:cs="Times New Roman"/>
        </w:rPr>
        <w:t>Nebendahl</w:t>
      </w:r>
      <w:proofErr w:type="spellEnd"/>
      <w:r w:rsidRPr="002106FE">
        <w:rPr>
          <w:rFonts w:ascii="Times New Roman" w:hAnsi="Times New Roman" w:cs="Times New Roman"/>
        </w:rPr>
        <w:t xml:space="preserve"> K., </w:t>
      </w:r>
      <w:proofErr w:type="spellStart"/>
      <w:r w:rsidRPr="002106FE">
        <w:rPr>
          <w:rFonts w:ascii="Times New Roman" w:hAnsi="Times New Roman" w:cs="Times New Roman"/>
        </w:rPr>
        <w:t>Stafleu</w:t>
      </w:r>
      <w:proofErr w:type="spellEnd"/>
      <w:r w:rsidRPr="002106FE">
        <w:rPr>
          <w:rFonts w:ascii="Times New Roman" w:hAnsi="Times New Roman" w:cs="Times New Roman"/>
        </w:rPr>
        <w:t xml:space="preserve"> F.R., </w:t>
      </w:r>
      <w:proofErr w:type="spellStart"/>
      <w:r w:rsidRPr="002106FE">
        <w:rPr>
          <w:rFonts w:ascii="Times New Roman" w:hAnsi="Times New Roman" w:cs="Times New Roman"/>
        </w:rPr>
        <w:t>Vergara</w:t>
      </w:r>
      <w:proofErr w:type="spellEnd"/>
      <w:r w:rsidRPr="002106FE">
        <w:rPr>
          <w:rFonts w:ascii="Times New Roman" w:hAnsi="Times New Roman" w:cs="Times New Roman"/>
        </w:rPr>
        <w:t xml:space="preserve"> P., </w:t>
      </w:r>
      <w:proofErr w:type="spellStart"/>
      <w:r w:rsidRPr="002106FE">
        <w:rPr>
          <w:rFonts w:ascii="Times New Roman" w:hAnsi="Times New Roman" w:cs="Times New Roman"/>
        </w:rPr>
        <w:t>Verstegen</w:t>
      </w:r>
      <w:proofErr w:type="spellEnd"/>
      <w:r w:rsidRPr="002106FE">
        <w:rPr>
          <w:rFonts w:ascii="Times New Roman" w:hAnsi="Times New Roman" w:cs="Times New Roman"/>
        </w:rPr>
        <w:t xml:space="preserve"> J., 2000. </w:t>
      </w:r>
      <w:r w:rsidRPr="002106FE">
        <w:rPr>
          <w:rFonts w:ascii="Times New Roman" w:hAnsi="Times New Roman" w:cs="Times New Roman"/>
          <w:lang w:val="en-US"/>
        </w:rPr>
        <w:t>FELASA guidelines education and training of persons carrying out animal experiments (Category B). Laboratory Animals, 34: 229-235.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  <w:lang w:val="en-US"/>
        </w:rPr>
        <w:t>Nevalainen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T., Berge E., </w:t>
      </w:r>
      <w:proofErr w:type="spellStart"/>
      <w:r w:rsidRPr="002106FE">
        <w:rPr>
          <w:rFonts w:ascii="Times New Roman" w:hAnsi="Times New Roman" w:cs="Times New Roman"/>
          <w:lang w:val="en-US"/>
        </w:rPr>
        <w:t>Gallix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2106FE">
        <w:rPr>
          <w:rFonts w:ascii="Times New Roman" w:hAnsi="Times New Roman" w:cs="Times New Roman"/>
          <w:lang w:val="en-US"/>
        </w:rPr>
        <w:t>Jilge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B., </w:t>
      </w:r>
      <w:proofErr w:type="spellStart"/>
      <w:r w:rsidRPr="002106FE">
        <w:rPr>
          <w:rFonts w:ascii="Times New Roman" w:hAnsi="Times New Roman" w:cs="Times New Roman"/>
          <w:lang w:val="en-US"/>
        </w:rPr>
        <w:t>Melloni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E., Thomann P., </w:t>
      </w:r>
      <w:proofErr w:type="spellStart"/>
      <w:r w:rsidRPr="002106FE">
        <w:rPr>
          <w:rFonts w:ascii="Times New Roman" w:hAnsi="Times New Roman" w:cs="Times New Roman"/>
          <w:lang w:val="en-US"/>
        </w:rPr>
        <w:t>Waynforth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 B., van </w:t>
      </w:r>
      <w:proofErr w:type="spellStart"/>
      <w:r w:rsidRPr="002106FE">
        <w:rPr>
          <w:rFonts w:ascii="Times New Roman" w:hAnsi="Times New Roman" w:cs="Times New Roman"/>
          <w:lang w:val="en-US"/>
        </w:rPr>
        <w:t>Zutphen</w:t>
      </w:r>
      <w:proofErr w:type="spellEnd"/>
      <w:r w:rsidRPr="002106FE">
        <w:rPr>
          <w:rFonts w:ascii="Times New Roman" w:hAnsi="Times New Roman" w:cs="Times New Roman"/>
          <w:lang w:val="en-US"/>
        </w:rPr>
        <w:t xml:space="preserve">, 1999. FELASA guidelines education of specialists in laboratory animal science (Category D). </w:t>
      </w:r>
      <w:proofErr w:type="spellStart"/>
      <w:r w:rsidRPr="002106FE">
        <w:rPr>
          <w:rFonts w:ascii="Times New Roman" w:hAnsi="Times New Roman" w:cs="Times New Roman"/>
        </w:rPr>
        <w:t>Laboratory</w:t>
      </w:r>
      <w:proofErr w:type="spellEnd"/>
      <w:r w:rsidRPr="002106FE">
        <w:rPr>
          <w:rFonts w:ascii="Times New Roman" w:hAnsi="Times New Roman" w:cs="Times New Roman"/>
        </w:rPr>
        <w:t xml:space="preserve"> Animals, 33: 1-5.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106FE">
        <w:rPr>
          <w:rFonts w:ascii="Times New Roman" w:hAnsi="Times New Roman" w:cs="Times New Roman"/>
        </w:rPr>
        <w:t>Popesko</w:t>
      </w:r>
      <w:proofErr w:type="spellEnd"/>
      <w:r w:rsidRPr="002106FE">
        <w:rPr>
          <w:rFonts w:ascii="Times New Roman" w:hAnsi="Times New Roman" w:cs="Times New Roman"/>
        </w:rPr>
        <w:t xml:space="preserve"> P., </w:t>
      </w:r>
      <w:proofErr w:type="spellStart"/>
      <w:r w:rsidRPr="002106FE">
        <w:rPr>
          <w:rFonts w:ascii="Times New Roman" w:hAnsi="Times New Roman" w:cs="Times New Roman"/>
        </w:rPr>
        <w:t>Rajtová</w:t>
      </w:r>
      <w:proofErr w:type="spellEnd"/>
      <w:r w:rsidRPr="002106FE">
        <w:rPr>
          <w:rFonts w:ascii="Times New Roman" w:hAnsi="Times New Roman" w:cs="Times New Roman"/>
        </w:rPr>
        <w:t xml:space="preserve"> V., </w:t>
      </w:r>
      <w:proofErr w:type="spellStart"/>
      <w:r w:rsidRPr="002106FE">
        <w:rPr>
          <w:rFonts w:ascii="Times New Roman" w:hAnsi="Times New Roman" w:cs="Times New Roman"/>
        </w:rPr>
        <w:t>Jindřich</w:t>
      </w:r>
      <w:proofErr w:type="spellEnd"/>
      <w:r w:rsidRPr="002106FE">
        <w:rPr>
          <w:rFonts w:ascii="Times New Roman" w:hAnsi="Times New Roman" w:cs="Times New Roman"/>
        </w:rPr>
        <w:t xml:space="preserve"> H. Atlas anatomii małych zwierząt laboratoryjnych. </w:t>
      </w:r>
      <w:proofErr w:type="spellStart"/>
      <w:r w:rsidRPr="002106FE">
        <w:rPr>
          <w:rFonts w:ascii="Times New Roman" w:hAnsi="Times New Roman" w:cs="Times New Roman"/>
        </w:rPr>
        <w:t>PWRiL</w:t>
      </w:r>
      <w:proofErr w:type="spellEnd"/>
      <w:r w:rsidRPr="002106FE">
        <w:rPr>
          <w:rFonts w:ascii="Times New Roman" w:hAnsi="Times New Roman" w:cs="Times New Roman"/>
        </w:rPr>
        <w:t xml:space="preserve"> Sp. z o.o., Warszawa, 2010.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Rak L., 2000. Miejsce i rola weterynarii w kształtowaniu dobrostanu zwierząt. Życie Weterynaryjne, 75 (2): 60-62.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lastRenderedPageBreak/>
        <w:t xml:space="preserve">Szarek J. Lekarz weterynarii jako biegły. Wydanie V poprawione i uzupełnione. Wydawnictwo UWM, Olsztyn, 2005. 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 xml:space="preserve">Szweda M., </w:t>
      </w:r>
      <w:proofErr w:type="spellStart"/>
      <w:r w:rsidRPr="002106FE">
        <w:rPr>
          <w:rFonts w:ascii="Times New Roman" w:hAnsi="Times New Roman" w:cs="Times New Roman"/>
        </w:rPr>
        <w:t>Gesek</w:t>
      </w:r>
      <w:proofErr w:type="spellEnd"/>
      <w:r w:rsidRPr="002106FE">
        <w:rPr>
          <w:rFonts w:ascii="Times New Roman" w:hAnsi="Times New Roman" w:cs="Times New Roman"/>
        </w:rPr>
        <w:t xml:space="preserve">. M., 2010. Skórne reakcje </w:t>
      </w:r>
      <w:proofErr w:type="spellStart"/>
      <w:r w:rsidRPr="002106FE">
        <w:rPr>
          <w:rFonts w:ascii="Times New Roman" w:hAnsi="Times New Roman" w:cs="Times New Roman"/>
        </w:rPr>
        <w:t>poiniekcyjne</w:t>
      </w:r>
      <w:proofErr w:type="spellEnd"/>
      <w:r w:rsidRPr="002106FE">
        <w:rPr>
          <w:rFonts w:ascii="Times New Roman" w:hAnsi="Times New Roman" w:cs="Times New Roman"/>
        </w:rPr>
        <w:t xml:space="preserve"> u gryzoni. Magazyn Weterynaryjny,</w:t>
      </w:r>
      <w:r w:rsidRPr="002106FE">
        <w:rPr>
          <w:rFonts w:ascii="Times New Roman" w:hAnsi="Times New Roman" w:cs="Times New Roman"/>
          <w:bCs/>
        </w:rPr>
        <w:t xml:space="preserve"> </w:t>
      </w:r>
      <w:r w:rsidRPr="002106FE">
        <w:rPr>
          <w:rFonts w:ascii="Times New Roman" w:hAnsi="Times New Roman" w:cs="Times New Roman"/>
        </w:rPr>
        <w:t>161 (10): 740-743.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Węgrzynowicz R., 2002. Komisje do spraw doświadczeń na zwierzętach w świetle prawa i norm etycznych. Życie Weterynaryjne, 77 (1): 10-11.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</w:rPr>
        <w:t>Woszczyński M., Czarnowska A., 2000. Zwierzęta laboratoryjne SPF – niezbędne badania w modelach biomedycznych. Medycyna Weterynaryjna, 56 (4): 222-225.</w:t>
      </w:r>
    </w:p>
    <w:p w:rsidR="00CF5A08" w:rsidRPr="002106FE" w:rsidRDefault="00CF5A08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  <w:r w:rsidRPr="002106FE">
        <w:rPr>
          <w:rFonts w:ascii="Times New Roman" w:hAnsi="Times New Roman" w:cs="Times New Roman"/>
        </w:rPr>
        <w:t xml:space="preserve">Zwierzęta laboratoryjne – patologia i użytkowanie. Pod red. naukową J. Szarka, M. Szwedy, E. Strzyżewskiej. </w:t>
      </w:r>
      <w:proofErr w:type="spellStart"/>
      <w:r w:rsidRPr="002106FE">
        <w:rPr>
          <w:rFonts w:ascii="Times New Roman" w:hAnsi="Times New Roman" w:cs="Times New Roman"/>
          <w:lang w:val="en-AU"/>
        </w:rPr>
        <w:t>Wydawnictwo</w:t>
      </w:r>
      <w:proofErr w:type="spellEnd"/>
      <w:r w:rsidRPr="002106FE">
        <w:rPr>
          <w:rFonts w:ascii="Times New Roman" w:hAnsi="Times New Roman" w:cs="Times New Roman"/>
          <w:lang w:val="en-AU"/>
        </w:rPr>
        <w:t xml:space="preserve"> UWM, Olsztyn, 2013. </w:t>
      </w: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002135" w:rsidRPr="002106FE" w:rsidRDefault="00002135" w:rsidP="00CF5A08">
      <w:pPr>
        <w:spacing w:before="120"/>
        <w:jc w:val="both"/>
        <w:rPr>
          <w:rFonts w:ascii="Times New Roman" w:hAnsi="Times New Roman" w:cs="Times New Roman"/>
          <w:lang w:val="en-AU"/>
        </w:rPr>
      </w:pPr>
    </w:p>
    <w:p w:rsidR="002106FE" w:rsidRDefault="002106FE">
      <w:pPr>
        <w:rPr>
          <w:rFonts w:ascii="Times New Roman" w:hAnsi="Times New Roman" w:cs="Times New Roman"/>
        </w:rPr>
      </w:pPr>
    </w:p>
    <w:p w:rsidR="002106FE" w:rsidRDefault="002106FE">
      <w:pPr>
        <w:rPr>
          <w:rFonts w:ascii="Times New Roman" w:hAnsi="Times New Roman" w:cs="Times New Roman"/>
        </w:rPr>
      </w:pPr>
    </w:p>
    <w:p w:rsidR="002106FE" w:rsidRDefault="002106FE">
      <w:pPr>
        <w:rPr>
          <w:rFonts w:ascii="Times New Roman" w:hAnsi="Times New Roman" w:cs="Times New Roman"/>
        </w:rPr>
      </w:pPr>
    </w:p>
    <w:p w:rsidR="002106FE" w:rsidRDefault="002106FE">
      <w:pPr>
        <w:rPr>
          <w:rFonts w:ascii="Times New Roman" w:hAnsi="Times New Roman" w:cs="Times New Roman"/>
        </w:rPr>
      </w:pPr>
    </w:p>
    <w:p w:rsidR="002106FE" w:rsidRPr="002106FE" w:rsidRDefault="002106FE">
      <w:pPr>
        <w:rPr>
          <w:rFonts w:ascii="Times New Roman" w:hAnsi="Times New Roman" w:cs="Times New Roman"/>
        </w:rPr>
      </w:pPr>
    </w:p>
    <w:p w:rsidR="00CF5A08" w:rsidRPr="00CF5A08" w:rsidRDefault="00CF5A08" w:rsidP="00CF5A08">
      <w:pPr>
        <w:rPr>
          <w:lang w:val="en-US"/>
        </w:rPr>
      </w:pPr>
    </w:p>
    <w:sectPr w:rsidR="00CF5A08" w:rsidRPr="00CF5A08" w:rsidSect="00CF46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1B" w:rsidRDefault="0093011B">
      <w:pPr>
        <w:spacing w:after="0" w:line="240" w:lineRule="auto"/>
      </w:pPr>
      <w:r>
        <w:separator/>
      </w:r>
    </w:p>
  </w:endnote>
  <w:endnote w:type="continuationSeparator" w:id="0">
    <w:p w:rsidR="0093011B" w:rsidRDefault="0093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1B" w:rsidRDefault="0093011B">
      <w:pPr>
        <w:spacing w:after="0" w:line="240" w:lineRule="auto"/>
      </w:pPr>
      <w:r>
        <w:separator/>
      </w:r>
    </w:p>
  </w:footnote>
  <w:footnote w:type="continuationSeparator" w:id="0">
    <w:p w:rsidR="0093011B" w:rsidRDefault="0093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42" w:rsidRDefault="00A2164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4CA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1642" w:rsidRDefault="00A21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4C4"/>
    <w:multiLevelType w:val="hybridMultilevel"/>
    <w:tmpl w:val="DC86C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F0C"/>
    <w:multiLevelType w:val="hybridMultilevel"/>
    <w:tmpl w:val="87229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596C"/>
    <w:multiLevelType w:val="hybridMultilevel"/>
    <w:tmpl w:val="B75CD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49FD"/>
    <w:multiLevelType w:val="hybridMultilevel"/>
    <w:tmpl w:val="75860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84C3C"/>
    <w:multiLevelType w:val="hybridMultilevel"/>
    <w:tmpl w:val="BA7E0D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8"/>
    <w:rsid w:val="00002135"/>
    <w:rsid w:val="00081D1E"/>
    <w:rsid w:val="000B5A1F"/>
    <w:rsid w:val="00111FEF"/>
    <w:rsid w:val="00114C1C"/>
    <w:rsid w:val="00150847"/>
    <w:rsid w:val="001946F1"/>
    <w:rsid w:val="001A3D73"/>
    <w:rsid w:val="001D5E98"/>
    <w:rsid w:val="002106FE"/>
    <w:rsid w:val="002D4EE1"/>
    <w:rsid w:val="0030392B"/>
    <w:rsid w:val="00352D35"/>
    <w:rsid w:val="00490EB8"/>
    <w:rsid w:val="004B07D3"/>
    <w:rsid w:val="00665696"/>
    <w:rsid w:val="00732F24"/>
    <w:rsid w:val="00835680"/>
    <w:rsid w:val="0093011B"/>
    <w:rsid w:val="00954621"/>
    <w:rsid w:val="00A21642"/>
    <w:rsid w:val="00A327F0"/>
    <w:rsid w:val="00A5294A"/>
    <w:rsid w:val="00B24CA7"/>
    <w:rsid w:val="00C66251"/>
    <w:rsid w:val="00C67190"/>
    <w:rsid w:val="00C81BA4"/>
    <w:rsid w:val="00CC077D"/>
    <w:rsid w:val="00CF468A"/>
    <w:rsid w:val="00CF5A08"/>
    <w:rsid w:val="00D2706D"/>
    <w:rsid w:val="00DB702D"/>
    <w:rsid w:val="00DD5779"/>
    <w:rsid w:val="00ED48F7"/>
    <w:rsid w:val="00F26E95"/>
    <w:rsid w:val="00F344AA"/>
    <w:rsid w:val="00F869BD"/>
    <w:rsid w:val="00FA6A17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E4D4"/>
  <w15:docId w15:val="{7CA5581B-73E2-4946-BC4C-4FA30FA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5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5A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F5A08"/>
    <w:rPr>
      <w:rFonts w:ascii="Times New Roman" w:hAnsi="Times New Roman" w:cs="Times New Roman"/>
    </w:rPr>
  </w:style>
  <w:style w:type="character" w:styleId="Hipercze">
    <w:name w:val="Hyperlink"/>
    <w:rsid w:val="00CF5A08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CF468A"/>
    <w:pPr>
      <w:widowControl w:val="0"/>
      <w:autoSpaceDE w:val="0"/>
      <w:autoSpaceDN w:val="0"/>
      <w:adjustRightInd w:val="0"/>
      <w:spacing w:after="0" w:line="1013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CF468A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B5A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omczyk@piwet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Tomczyk</dc:creator>
  <cp:lastModifiedBy>Karolina Radzikowska</cp:lastModifiedBy>
  <cp:revision>4</cp:revision>
  <cp:lastPrinted>2021-06-29T09:24:00Z</cp:lastPrinted>
  <dcterms:created xsi:type="dcterms:W3CDTF">2021-07-27T06:33:00Z</dcterms:created>
  <dcterms:modified xsi:type="dcterms:W3CDTF">2021-10-11T09:25:00Z</dcterms:modified>
</cp:coreProperties>
</file>